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w:t>
            </w:r>
            <w:r>
              <w:rPr>
                <w:rFonts w:eastAsia="宋体"/>
                <w:color w:val="auto"/>
                <w:sz w:val="24"/>
              </w:rPr>
              <w:t>202</w:t>
            </w:r>
            <w:r>
              <w:rPr>
                <w:rFonts w:hint="eastAsia" w:eastAsia="宋体"/>
                <w:color w:val="auto"/>
                <w:sz w:val="24"/>
                <w:lang w:val="en-US" w:eastAsia="zh-CN"/>
              </w:rPr>
              <w:t>4</w:t>
            </w:r>
            <w:r>
              <w:rPr>
                <w:rFonts w:eastAsia="宋体"/>
                <w:color w:val="auto"/>
                <w:sz w:val="24"/>
              </w:rPr>
              <w:t>-</w:t>
            </w:r>
            <w:r>
              <w:rPr>
                <w:rFonts w:hint="eastAsia" w:eastAsia="宋体"/>
                <w:color w:val="auto"/>
                <w:sz w:val="24"/>
                <w:lang w:val="en-US" w:eastAsia="zh-CN"/>
              </w:rPr>
              <w:t>006</w:t>
            </w:r>
          </w:p>
        </w:tc>
      </w:tr>
    </w:tbl>
    <w:p>
      <w:pPr>
        <w:snapToGrid w:val="0"/>
        <w:spacing w:before="156" w:beforeLines="50"/>
        <w:jc w:val="center"/>
        <w:outlineLvl w:val="0"/>
        <w:rPr>
          <w:rFonts w:eastAsia="宋体"/>
          <w:b/>
          <w:sz w:val="36"/>
          <w:szCs w:val="36"/>
        </w:rPr>
      </w:pPr>
      <w:r>
        <w:rPr>
          <w:rFonts w:eastAsia="宋体"/>
          <w:b/>
          <w:sz w:val="36"/>
          <w:szCs w:val="36"/>
        </w:rPr>
        <w:t>中广核核技术发展股份有限公司</w:t>
      </w:r>
    </w:p>
    <w:p>
      <w:pPr>
        <w:snapToGrid w:val="0"/>
        <w:jc w:val="center"/>
        <w:outlineLvl w:val="0"/>
        <w:rPr>
          <w:rFonts w:eastAsia="宋体"/>
          <w:b/>
          <w:sz w:val="36"/>
          <w:szCs w:val="36"/>
        </w:rPr>
      </w:pPr>
      <w:r>
        <w:rPr>
          <w:rFonts w:hint="eastAsia" w:eastAsia="宋体"/>
          <w:b/>
          <w:sz w:val="36"/>
          <w:szCs w:val="36"/>
        </w:rPr>
        <w:t>2023年度业绩预告</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hint="eastAsia" w:eastAsia="宋体"/>
          <w:b/>
          <w:bCs w:val="0"/>
          <w:sz w:val="24"/>
          <w:szCs w:val="24"/>
        </w:rPr>
      </w:pPr>
      <w:r>
        <w:rPr>
          <w:rFonts w:hint="eastAsia" w:eastAsia="宋体"/>
          <w:b/>
          <w:bCs w:val="0"/>
          <w:sz w:val="24"/>
          <w:szCs w:val="24"/>
        </w:rPr>
        <w:t>一、本期业绩预计情况</w:t>
      </w:r>
    </w:p>
    <w:p>
      <w:pPr>
        <w:adjustRightInd w:val="0"/>
        <w:snapToGrid w:val="0"/>
        <w:spacing w:line="360" w:lineRule="auto"/>
        <w:ind w:firstLine="480" w:firstLineChars="200"/>
        <w:outlineLvl w:val="0"/>
        <w:rPr>
          <w:rFonts w:hint="eastAsia" w:eastAsia="宋体"/>
          <w:b w:val="0"/>
          <w:bCs/>
          <w:sz w:val="24"/>
          <w:szCs w:val="24"/>
        </w:rPr>
      </w:pPr>
      <w:r>
        <w:rPr>
          <w:rFonts w:hint="eastAsia" w:eastAsia="宋体"/>
          <w:b w:val="0"/>
          <w:bCs/>
          <w:sz w:val="24"/>
          <w:szCs w:val="24"/>
        </w:rPr>
        <w:t>（一）业绩预告期间</w:t>
      </w:r>
    </w:p>
    <w:p>
      <w:pPr>
        <w:adjustRightInd w:val="0"/>
        <w:snapToGrid w:val="0"/>
        <w:spacing w:line="360" w:lineRule="auto"/>
        <w:ind w:firstLine="480" w:firstLineChars="200"/>
        <w:outlineLvl w:val="0"/>
        <w:rPr>
          <w:rFonts w:hint="default" w:eastAsia="宋体"/>
          <w:b w:val="0"/>
          <w:bCs/>
          <w:sz w:val="24"/>
          <w:szCs w:val="24"/>
          <w:lang w:val="en-US" w:eastAsia="zh-CN"/>
        </w:rPr>
      </w:pPr>
      <w:r>
        <w:rPr>
          <w:rFonts w:hint="eastAsia" w:eastAsia="宋体"/>
          <w:b w:val="0"/>
          <w:bCs/>
          <w:sz w:val="24"/>
          <w:szCs w:val="24"/>
          <w:lang w:val="en-US" w:eastAsia="zh-CN"/>
        </w:rPr>
        <w:t>2023年1月1日至2023年12月31日</w:t>
      </w:r>
    </w:p>
    <w:p>
      <w:pPr>
        <w:adjustRightInd w:val="0"/>
        <w:snapToGrid w:val="0"/>
        <w:spacing w:line="360" w:lineRule="auto"/>
        <w:ind w:firstLine="480" w:firstLineChars="200"/>
        <w:outlineLvl w:val="0"/>
        <w:rPr>
          <w:rFonts w:hint="eastAsia" w:eastAsia="宋体"/>
          <w:b w:val="0"/>
          <w:bCs/>
          <w:sz w:val="24"/>
          <w:szCs w:val="24"/>
        </w:rPr>
      </w:pPr>
      <w:r>
        <w:rPr>
          <w:rFonts w:hint="eastAsia" w:eastAsia="宋体"/>
          <w:b w:val="0"/>
          <w:bCs/>
          <w:sz w:val="24"/>
          <w:szCs w:val="24"/>
        </w:rPr>
        <w:t>（二）业绩预告情况</w:t>
      </w:r>
    </w:p>
    <w:p>
      <w:pPr>
        <w:adjustRightInd w:val="0"/>
        <w:snapToGrid w:val="0"/>
        <w:spacing w:line="360" w:lineRule="auto"/>
        <w:ind w:firstLine="480" w:firstLineChars="200"/>
        <w:outlineLvl w:val="0"/>
        <w:rPr>
          <w:rFonts w:hint="eastAsia" w:eastAsia="宋体"/>
          <w:b w:val="0"/>
          <w:bCs/>
          <w:sz w:val="24"/>
          <w:szCs w:val="24"/>
        </w:rPr>
      </w:pPr>
      <w:r>
        <w:rPr>
          <w:rFonts w:hint="eastAsia" w:eastAsia="宋体"/>
          <w:b w:val="0"/>
          <w:bCs/>
          <w:sz w:val="24"/>
          <w:szCs w:val="24"/>
        </w:rPr>
        <w:sym w:font="Wingdings 2" w:char="0052"/>
      </w:r>
      <w:r>
        <w:rPr>
          <w:rFonts w:hint="eastAsia" w:eastAsia="宋体"/>
          <w:b w:val="0"/>
          <w:bCs/>
          <w:sz w:val="24"/>
          <w:szCs w:val="24"/>
        </w:rPr>
        <w:t>预计净利润为负值</w:t>
      </w:r>
    </w:p>
    <w:tbl>
      <w:tblPr>
        <w:tblStyle w:val="11"/>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426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26" w:type="pct"/>
            <w:tcBorders>
              <w:top w:val="single" w:color="auto" w:sz="4" w:space="0"/>
              <w:left w:val="single" w:color="auto" w:sz="4" w:space="0"/>
              <w:bottom w:val="single" w:color="auto" w:sz="4" w:space="0"/>
              <w:right w:val="single" w:color="auto" w:sz="4" w:space="0"/>
            </w:tcBorders>
            <w:vAlign w:val="center"/>
          </w:tcPr>
          <w:p>
            <w:pPr>
              <w:pStyle w:val="31"/>
              <w:jc w:val="center"/>
              <w:rPr>
                <w:rFonts w:hint="eastAsia" w:ascii="宋体" w:hAnsi="宋体" w:eastAsia="宋体" w:cs="宋体"/>
                <w:b/>
                <w:color w:val="auto"/>
                <w:sz w:val="24"/>
              </w:rPr>
            </w:pPr>
            <w:r>
              <w:rPr>
                <w:rFonts w:hint="eastAsia" w:ascii="宋体" w:hAnsi="宋体" w:eastAsia="宋体" w:cs="宋体"/>
                <w:b/>
                <w:color w:val="auto"/>
                <w:sz w:val="24"/>
              </w:rPr>
              <w:t>项  目</w:t>
            </w:r>
          </w:p>
        </w:tc>
        <w:tc>
          <w:tcPr>
            <w:tcW w:w="2474" w:type="pct"/>
            <w:tcBorders>
              <w:top w:val="single" w:color="auto" w:sz="4" w:space="0"/>
              <w:left w:val="single" w:color="auto" w:sz="4" w:space="0"/>
              <w:bottom w:val="single" w:color="auto" w:sz="4" w:space="0"/>
              <w:right w:val="single" w:color="auto" w:sz="4" w:space="0"/>
            </w:tcBorders>
            <w:vAlign w:val="center"/>
          </w:tcPr>
          <w:p>
            <w:pPr>
              <w:pStyle w:val="31"/>
              <w:jc w:val="center"/>
              <w:rPr>
                <w:rFonts w:hint="eastAsia" w:ascii="宋体" w:hAnsi="宋体" w:eastAsia="宋体" w:cs="宋体"/>
                <w:b/>
                <w:color w:val="auto"/>
                <w:sz w:val="24"/>
              </w:rPr>
            </w:pPr>
            <w:r>
              <w:rPr>
                <w:rFonts w:hint="eastAsia" w:ascii="宋体" w:hAnsi="宋体" w:eastAsia="宋体" w:cs="宋体"/>
                <w:b/>
                <w:color w:val="auto"/>
                <w:sz w:val="24"/>
              </w:rPr>
              <w:t>本报告期</w:t>
            </w:r>
          </w:p>
        </w:tc>
        <w:tc>
          <w:tcPr>
            <w:tcW w:w="1398" w:type="pct"/>
            <w:tcBorders>
              <w:top w:val="single" w:color="auto" w:sz="4" w:space="0"/>
              <w:left w:val="single" w:color="auto" w:sz="4" w:space="0"/>
              <w:bottom w:val="single" w:color="auto" w:sz="4" w:space="0"/>
              <w:right w:val="single" w:color="auto" w:sz="4" w:space="0"/>
            </w:tcBorders>
            <w:vAlign w:val="center"/>
          </w:tcPr>
          <w:p>
            <w:pPr>
              <w:pStyle w:val="31"/>
              <w:jc w:val="center"/>
              <w:rPr>
                <w:rFonts w:hint="eastAsia" w:ascii="宋体" w:hAnsi="宋体" w:eastAsia="宋体" w:cs="宋体"/>
                <w:b/>
                <w:color w:val="auto"/>
                <w:sz w:val="24"/>
              </w:rPr>
            </w:pPr>
            <w:r>
              <w:rPr>
                <w:rFonts w:hint="eastAsia" w:ascii="宋体" w:hAnsi="宋体" w:eastAsia="宋体" w:cs="宋体"/>
                <w:b/>
                <w:color w:val="auto"/>
                <w:sz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pct"/>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归属于上市公司股东的净利润</w:t>
            </w:r>
          </w:p>
        </w:tc>
        <w:tc>
          <w:tcPr>
            <w:tcW w:w="2474" w:type="pct"/>
            <w:tcBorders>
              <w:top w:val="single" w:color="auto" w:sz="4" w:space="0"/>
              <w:left w:val="single" w:color="auto" w:sz="4" w:space="0"/>
              <w:bottom w:val="single" w:color="auto" w:sz="4" w:space="0"/>
              <w:right w:val="single" w:color="auto" w:sz="4" w:space="0"/>
            </w:tcBorders>
            <w:vAlign w:val="center"/>
          </w:tcPr>
          <w:p>
            <w:pPr>
              <w:pStyle w:val="31"/>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亏损：</w:t>
            </w:r>
            <w:r>
              <w:rPr>
                <w:rFonts w:hint="default" w:ascii="Times New Roman" w:hAnsi="Times New Roman" w:cs="Times New Roman"/>
                <w:color w:val="auto"/>
                <w:sz w:val="24"/>
              </w:rPr>
              <w:t>57,</w:t>
            </w:r>
            <w:r>
              <w:rPr>
                <w:rFonts w:hint="default" w:ascii="Times New Roman" w:hAnsi="Times New Roman" w:cs="Times New Roman"/>
                <w:color w:val="auto"/>
                <w:sz w:val="24"/>
                <w:lang w:val="en-US" w:eastAsia="zh-CN"/>
              </w:rPr>
              <w:t>760</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40</w:t>
            </w:r>
            <w:r>
              <w:rPr>
                <w:rFonts w:hint="default" w:ascii="Times New Roman" w:hAnsi="Times New Roman" w:eastAsia="宋体" w:cs="Times New Roman"/>
                <w:color w:val="auto"/>
                <w:sz w:val="24"/>
              </w:rPr>
              <w:t>万元</w:t>
            </w:r>
            <w:r>
              <w:rPr>
                <w:rFonts w:hint="default" w:ascii="Times New Roman" w:hAnsi="Times New Roman" w:cs="Times New Roman"/>
                <w:color w:val="auto"/>
                <w:sz w:val="24"/>
                <w:lang w:val="en-US" w:eastAsia="zh-CN"/>
              </w:rPr>
              <w:t>至</w:t>
            </w:r>
            <w:r>
              <w:rPr>
                <w:rFonts w:hint="default" w:ascii="Times New Roman" w:hAnsi="Times New Roman" w:cs="Times New Roman"/>
                <w:color w:val="auto"/>
                <w:sz w:val="24"/>
              </w:rPr>
              <w:t>78,14</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42</w:t>
            </w:r>
            <w:r>
              <w:rPr>
                <w:rFonts w:hint="default" w:ascii="Times New Roman" w:hAnsi="Times New Roman" w:eastAsia="宋体" w:cs="Times New Roman"/>
                <w:color w:val="auto"/>
                <w:sz w:val="24"/>
              </w:rPr>
              <w:t>万元</w:t>
            </w:r>
          </w:p>
        </w:tc>
        <w:tc>
          <w:tcPr>
            <w:tcW w:w="1398"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盈利：19,875.12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pct"/>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扣除非经常性损益后的净利润</w:t>
            </w:r>
          </w:p>
        </w:tc>
        <w:tc>
          <w:tcPr>
            <w:tcW w:w="2474" w:type="pc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亏损：</w:t>
            </w:r>
            <w:r>
              <w:rPr>
                <w:rFonts w:hint="default" w:ascii="Times New Roman" w:hAnsi="Times New Roman" w:eastAsia="宋体" w:cs="Times New Roman"/>
                <w:color w:val="auto"/>
                <w:sz w:val="24"/>
                <w:lang w:val="en-US" w:eastAsia="zh-CN"/>
              </w:rPr>
              <w:t>77,227.28</w:t>
            </w:r>
            <w:r>
              <w:rPr>
                <w:rFonts w:hint="default" w:ascii="Times New Roman" w:hAnsi="Times New Roman" w:eastAsia="宋体" w:cs="Times New Roman"/>
                <w:color w:val="auto"/>
                <w:sz w:val="24"/>
              </w:rPr>
              <w:t>万元</w:t>
            </w:r>
            <w:r>
              <w:rPr>
                <w:rFonts w:hint="default" w:ascii="Times New Roman" w:hAnsi="Times New Roman" w:eastAsia="宋体" w:cs="Times New Roman"/>
                <w:color w:val="auto"/>
                <w:sz w:val="24"/>
                <w:lang w:val="en-US" w:eastAsia="zh-CN"/>
              </w:rPr>
              <w:t>至</w:t>
            </w:r>
            <w:r>
              <w:rPr>
                <w:rFonts w:hint="default" w:eastAsia="宋体"/>
                <w:color w:val="auto"/>
                <w:sz w:val="24"/>
              </w:rPr>
              <w:t>97,942.36</w:t>
            </w:r>
            <w:r>
              <w:rPr>
                <w:rFonts w:hint="default" w:ascii="Times New Roman" w:hAnsi="Times New Roman" w:eastAsia="宋体" w:cs="Times New Roman"/>
                <w:color w:val="auto"/>
                <w:sz w:val="24"/>
              </w:rPr>
              <w:t>万元</w:t>
            </w:r>
          </w:p>
        </w:tc>
        <w:tc>
          <w:tcPr>
            <w:tcW w:w="1398"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hint="default" w:ascii="Times New Roman" w:hAnsi="Times New Roman" w:eastAsia="宋体" w:cs="Times New Roman"/>
                <w:color w:val="auto"/>
                <w:sz w:val="24"/>
              </w:rPr>
            </w:pPr>
            <w:r>
              <w:rPr>
                <w:rFonts w:hint="eastAsia" w:eastAsia="宋体" w:cs="Times New Roman"/>
                <w:color w:val="auto"/>
                <w:sz w:val="24"/>
                <w:lang w:val="en-US" w:eastAsia="zh-CN"/>
              </w:rPr>
              <w:t>亏损</w:t>
            </w:r>
            <w:r>
              <w:rPr>
                <w:rFonts w:hint="default" w:ascii="Times New Roman" w:hAnsi="Times New Roman" w:eastAsia="宋体" w:cs="Times New Roman"/>
                <w:color w:val="auto"/>
                <w:sz w:val="24"/>
              </w:rPr>
              <w:t>：6,703.65万元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26" w:type="pct"/>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基本每股收益</w:t>
            </w:r>
          </w:p>
        </w:tc>
        <w:tc>
          <w:tcPr>
            <w:tcW w:w="247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亏损：0.</w:t>
            </w:r>
            <w:r>
              <w:rPr>
                <w:rFonts w:hint="default" w:ascii="Times New Roman" w:hAnsi="Times New Roman" w:eastAsia="宋体" w:cs="Times New Roman"/>
                <w:color w:val="auto"/>
                <w:sz w:val="24"/>
                <w:lang w:val="en-US" w:eastAsia="zh-CN"/>
              </w:rPr>
              <w:t>6109</w:t>
            </w:r>
            <w:r>
              <w:rPr>
                <w:rFonts w:hint="default" w:ascii="Times New Roman" w:hAnsi="Times New Roman" w:eastAsia="宋体" w:cs="Times New Roman"/>
                <w:color w:val="auto"/>
                <w:sz w:val="24"/>
              </w:rPr>
              <w:t>元/股</w:t>
            </w:r>
            <w:r>
              <w:rPr>
                <w:rFonts w:hint="default" w:ascii="Times New Roman" w:hAnsi="Times New Roman" w:eastAsia="宋体" w:cs="Times New Roman"/>
                <w:color w:val="auto"/>
                <w:sz w:val="24"/>
                <w:lang w:val="en-US" w:eastAsia="zh-CN"/>
              </w:rPr>
              <w:t>至0.8266</w:t>
            </w:r>
            <w:r>
              <w:rPr>
                <w:rFonts w:hint="default" w:ascii="Times New Roman" w:hAnsi="Times New Roman" w:eastAsia="宋体" w:cs="Times New Roman"/>
                <w:color w:val="auto"/>
                <w:sz w:val="24"/>
              </w:rPr>
              <w:t>元/股</w:t>
            </w:r>
          </w:p>
        </w:tc>
        <w:tc>
          <w:tcPr>
            <w:tcW w:w="1398"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盈利：0.2102元/股</w:t>
            </w:r>
          </w:p>
        </w:tc>
      </w:tr>
    </w:tbl>
    <w:p>
      <w:pPr>
        <w:adjustRightInd w:val="0"/>
        <w:snapToGrid w:val="0"/>
        <w:spacing w:line="360" w:lineRule="auto"/>
        <w:ind w:firstLine="482" w:firstLineChars="200"/>
        <w:outlineLvl w:val="0"/>
        <w:rPr>
          <w:rFonts w:hint="eastAsia" w:eastAsia="宋体"/>
          <w:b/>
          <w:bCs w:val="0"/>
          <w:sz w:val="24"/>
          <w:szCs w:val="24"/>
        </w:rPr>
      </w:pPr>
      <w:r>
        <w:rPr>
          <w:rFonts w:hint="eastAsia" w:eastAsia="宋体"/>
          <w:b/>
          <w:bCs w:val="0"/>
          <w:sz w:val="24"/>
          <w:szCs w:val="24"/>
        </w:rPr>
        <w:t>二、与会计师事务所沟通情况</w:t>
      </w:r>
    </w:p>
    <w:p>
      <w:pPr>
        <w:adjustRightInd w:val="0"/>
        <w:snapToGrid w:val="0"/>
        <w:spacing w:line="360" w:lineRule="auto"/>
        <w:ind w:firstLine="480" w:firstLineChars="200"/>
        <w:outlineLvl w:val="0"/>
        <w:rPr>
          <w:rFonts w:hint="eastAsia" w:eastAsia="宋体"/>
          <w:b w:val="0"/>
          <w:bCs/>
          <w:sz w:val="22"/>
          <w:szCs w:val="22"/>
          <w:lang w:eastAsia="zh-CN"/>
        </w:rPr>
      </w:pPr>
      <w:r>
        <w:rPr>
          <w:rFonts w:hint="eastAsia" w:eastAsia="宋体"/>
          <w:b w:val="0"/>
          <w:bCs/>
          <w:sz w:val="24"/>
          <w:szCs w:val="24"/>
          <w:lang w:val="en-US" w:eastAsia="zh-CN"/>
        </w:rPr>
        <w:t>本次</w:t>
      </w:r>
      <w:r>
        <w:rPr>
          <w:rFonts w:hint="eastAsia" w:eastAsia="宋体"/>
          <w:b w:val="0"/>
          <w:bCs/>
          <w:sz w:val="24"/>
          <w:szCs w:val="24"/>
        </w:rPr>
        <w:t>业绩预告</w:t>
      </w:r>
      <w:r>
        <w:rPr>
          <w:rFonts w:hint="eastAsia" w:eastAsia="宋体"/>
          <w:b w:val="0"/>
          <w:bCs/>
          <w:sz w:val="24"/>
          <w:szCs w:val="24"/>
          <w:lang w:val="en-US" w:eastAsia="zh-CN"/>
        </w:rPr>
        <w:t>未</w:t>
      </w:r>
      <w:r>
        <w:rPr>
          <w:rFonts w:hint="eastAsia" w:eastAsia="宋体"/>
          <w:b w:val="0"/>
          <w:bCs/>
          <w:sz w:val="24"/>
          <w:szCs w:val="24"/>
        </w:rPr>
        <w:t>经过注册会计师审计</w:t>
      </w:r>
      <w:r>
        <w:rPr>
          <w:rFonts w:hint="eastAsia" w:eastAsia="宋体"/>
          <w:b w:val="0"/>
          <w:bCs/>
          <w:sz w:val="24"/>
          <w:szCs w:val="24"/>
          <w:lang w:eastAsia="zh-CN"/>
        </w:rPr>
        <w:t>。公司就本次业绩预告与为公司提供年度审计服务的会计师事务所签字注册会计师进行了预沟通，双方在本次业绩预告方面不存在分歧。</w:t>
      </w:r>
    </w:p>
    <w:p>
      <w:pPr>
        <w:adjustRightInd w:val="0"/>
        <w:snapToGrid w:val="0"/>
        <w:spacing w:line="360" w:lineRule="auto"/>
        <w:ind w:firstLine="482" w:firstLineChars="200"/>
        <w:outlineLvl w:val="0"/>
        <w:rPr>
          <w:rFonts w:hint="default" w:eastAsia="宋体"/>
          <w:b/>
          <w:bCs w:val="0"/>
          <w:sz w:val="24"/>
          <w:szCs w:val="24"/>
          <w:lang w:val="en-US" w:eastAsia="zh-CN"/>
        </w:rPr>
      </w:pPr>
      <w:r>
        <w:rPr>
          <w:rFonts w:hint="eastAsia" w:eastAsia="宋体"/>
          <w:b/>
          <w:bCs w:val="0"/>
          <w:sz w:val="24"/>
          <w:szCs w:val="24"/>
          <w:lang w:val="en-US" w:eastAsia="zh-CN"/>
        </w:rPr>
        <w:t>三、业绩变动原因说明</w:t>
      </w:r>
    </w:p>
    <w:p>
      <w:pPr>
        <w:adjustRightInd w:val="0"/>
        <w:snapToGrid w:val="0"/>
        <w:spacing w:line="360" w:lineRule="auto"/>
        <w:ind w:firstLine="480" w:firstLineChars="200"/>
        <w:outlineLvl w:val="0"/>
        <w:rPr>
          <w:rFonts w:hint="eastAsia" w:eastAsia="宋体"/>
          <w:b w:val="0"/>
          <w:bCs/>
          <w:color w:val="auto"/>
          <w:sz w:val="24"/>
          <w:szCs w:val="24"/>
          <w:lang w:val="en-US" w:eastAsia="zh-CN"/>
        </w:rPr>
      </w:pPr>
      <w:r>
        <w:rPr>
          <w:rFonts w:hint="eastAsia" w:eastAsia="宋体"/>
          <w:b w:val="0"/>
          <w:bCs/>
          <w:color w:val="auto"/>
          <w:sz w:val="24"/>
          <w:szCs w:val="24"/>
          <w:lang w:val="en-US" w:eastAsia="zh-CN"/>
        </w:rPr>
        <w:t>报告期内</w:t>
      </w:r>
      <w:r>
        <w:rPr>
          <w:rFonts w:hint="eastAsia" w:eastAsia="宋体"/>
          <w:b w:val="0"/>
          <w:bCs/>
          <w:color w:val="auto"/>
          <w:sz w:val="24"/>
          <w:szCs w:val="24"/>
          <w:lang w:eastAsia="zh-CN"/>
        </w:rPr>
        <w:t>，</w:t>
      </w:r>
      <w:r>
        <w:rPr>
          <w:rFonts w:hint="eastAsia" w:eastAsia="宋体"/>
          <w:b w:val="0"/>
          <w:bCs/>
          <w:color w:val="auto"/>
          <w:sz w:val="24"/>
          <w:szCs w:val="24"/>
          <w:lang w:val="en-US" w:eastAsia="zh-CN"/>
        </w:rPr>
        <w:t>公司预计净利润为负值，主要原因如下：</w:t>
      </w:r>
    </w:p>
    <w:p>
      <w:pPr>
        <w:numPr>
          <w:ilvl w:val="0"/>
          <w:numId w:val="2"/>
        </w:numPr>
        <w:adjustRightInd w:val="0"/>
        <w:snapToGrid w:val="0"/>
        <w:spacing w:line="360" w:lineRule="auto"/>
        <w:ind w:firstLine="480" w:firstLineChars="200"/>
        <w:outlineLvl w:val="0"/>
        <w:rPr>
          <w:rFonts w:hint="eastAsia" w:eastAsia="宋体"/>
          <w:b w:val="0"/>
          <w:bCs/>
          <w:color w:val="auto"/>
          <w:sz w:val="24"/>
          <w:szCs w:val="24"/>
          <w:lang w:val="en-US" w:eastAsia="zh-CN"/>
        </w:rPr>
      </w:pPr>
      <w:r>
        <w:rPr>
          <w:rFonts w:hint="eastAsia" w:eastAsia="宋体"/>
          <w:b w:val="0"/>
          <w:bCs/>
          <w:color w:val="auto"/>
          <w:sz w:val="24"/>
          <w:szCs w:val="24"/>
          <w:lang w:val="en-US" w:eastAsia="zh-CN"/>
        </w:rPr>
        <w:t>航运业务</w:t>
      </w:r>
      <w:r>
        <w:rPr>
          <w:rFonts w:hint="eastAsia" w:eastAsia="宋体"/>
          <w:b w:val="0"/>
          <w:bCs/>
          <w:color w:val="auto"/>
          <w:sz w:val="24"/>
          <w:szCs w:val="24"/>
        </w:rPr>
        <w:t>船舶</w:t>
      </w:r>
      <w:r>
        <w:rPr>
          <w:rFonts w:hint="eastAsia" w:eastAsia="宋体"/>
          <w:b w:val="0"/>
          <w:bCs/>
          <w:color w:val="auto"/>
          <w:sz w:val="24"/>
          <w:szCs w:val="24"/>
          <w:lang w:val="en-US" w:eastAsia="zh-CN"/>
        </w:rPr>
        <w:t>日均</w:t>
      </w:r>
      <w:r>
        <w:rPr>
          <w:rFonts w:hint="eastAsia" w:eastAsia="宋体"/>
          <w:b w:val="0"/>
          <w:bCs/>
          <w:color w:val="auto"/>
          <w:sz w:val="24"/>
          <w:szCs w:val="24"/>
        </w:rPr>
        <w:t>租金</w:t>
      </w:r>
      <w:r>
        <w:rPr>
          <w:rFonts w:hint="eastAsia" w:eastAsia="宋体"/>
          <w:b w:val="0"/>
          <w:bCs/>
          <w:color w:val="auto"/>
          <w:sz w:val="24"/>
          <w:szCs w:val="24"/>
          <w:lang w:val="en-US" w:eastAsia="zh-CN"/>
        </w:rPr>
        <w:t>下滑50%，渔业成本上涨及贸易业务转型等影响，预计减少利润12,000万元至16,000万元。</w:t>
      </w:r>
      <w:bookmarkStart w:id="0" w:name="_GoBack"/>
      <w:bookmarkEnd w:id="0"/>
    </w:p>
    <w:p>
      <w:pPr>
        <w:adjustRightInd w:val="0"/>
        <w:snapToGrid w:val="0"/>
        <w:spacing w:line="360" w:lineRule="auto"/>
        <w:ind w:firstLine="480" w:firstLineChars="200"/>
        <w:outlineLvl w:val="0"/>
        <w:rPr>
          <w:rFonts w:hint="eastAsia" w:eastAsia="宋体"/>
          <w:b w:val="0"/>
          <w:bCs/>
          <w:color w:val="auto"/>
          <w:sz w:val="24"/>
          <w:szCs w:val="24"/>
          <w:lang w:val="en-US" w:eastAsia="zh-CN"/>
        </w:rPr>
      </w:pPr>
      <w:r>
        <w:rPr>
          <w:rFonts w:hint="eastAsia" w:eastAsia="宋体"/>
          <w:b w:val="0"/>
          <w:bCs/>
          <w:color w:val="auto"/>
          <w:sz w:val="24"/>
          <w:szCs w:val="24"/>
          <w:lang w:val="en-US" w:eastAsia="zh-CN"/>
        </w:rPr>
        <w:t>2、为了进一步聚焦“主责主业”，报告期内公司对“大连国合汇邦房地产投资管理有限公司、大连五洲成大建设发展有限公司”等六家公司进行了破产清算，对公司业绩造成较大影响，预计减少利润9,500万元至13,000万元</w:t>
      </w:r>
      <w:r>
        <w:rPr>
          <w:rFonts w:hint="eastAsia" w:eastAsia="宋体"/>
          <w:bCs/>
          <w:color w:val="auto"/>
          <w:sz w:val="24"/>
          <w:szCs w:val="24"/>
        </w:rPr>
        <w:t>（其中</w:t>
      </w:r>
      <w:r>
        <w:rPr>
          <w:rFonts w:hint="eastAsia" w:eastAsia="宋体"/>
          <w:bCs/>
          <w:color w:val="auto"/>
          <w:sz w:val="24"/>
          <w:szCs w:val="24"/>
          <w:lang w:val="en-US" w:eastAsia="zh-CN"/>
        </w:rPr>
        <w:t>净资产处置产生非经常性收益</w:t>
      </w:r>
      <w:r>
        <w:rPr>
          <w:rFonts w:hint="eastAsia" w:eastAsia="宋体"/>
          <w:bCs/>
          <w:color w:val="auto"/>
          <w:sz w:val="24"/>
          <w:szCs w:val="24"/>
        </w:rPr>
        <w:t>1</w:t>
      </w:r>
      <w:r>
        <w:rPr>
          <w:rFonts w:hint="eastAsia" w:eastAsia="宋体"/>
          <w:bCs/>
          <w:color w:val="auto"/>
          <w:sz w:val="24"/>
          <w:szCs w:val="24"/>
          <w:lang w:eastAsia="zh-CN"/>
        </w:rPr>
        <w:t>2</w:t>
      </w:r>
      <w:r>
        <w:rPr>
          <w:rFonts w:hint="eastAsia" w:eastAsia="宋体"/>
          <w:bCs/>
          <w:color w:val="auto"/>
          <w:sz w:val="24"/>
          <w:szCs w:val="24"/>
          <w:lang w:val="en-US" w:eastAsia="zh-CN"/>
        </w:rPr>
        <w:t>,200万元至16,700万元，当期无法收回债权产生经常性损失22,000</w:t>
      </w:r>
      <w:r>
        <w:rPr>
          <w:rFonts w:hint="eastAsia" w:eastAsia="宋体"/>
          <w:bCs/>
          <w:color w:val="auto"/>
          <w:sz w:val="24"/>
          <w:szCs w:val="24"/>
        </w:rPr>
        <w:t>万元</w:t>
      </w:r>
      <w:r>
        <w:rPr>
          <w:rFonts w:hint="eastAsia" w:eastAsia="宋体"/>
          <w:bCs/>
          <w:color w:val="auto"/>
          <w:sz w:val="24"/>
          <w:szCs w:val="24"/>
          <w:lang w:val="en-US" w:eastAsia="zh-CN"/>
        </w:rPr>
        <w:t>至30,000</w:t>
      </w:r>
      <w:r>
        <w:rPr>
          <w:rFonts w:hint="eastAsia" w:eastAsia="宋体"/>
          <w:bCs/>
          <w:color w:val="auto"/>
          <w:sz w:val="24"/>
          <w:szCs w:val="24"/>
        </w:rPr>
        <w:t>万元）</w:t>
      </w:r>
      <w:r>
        <w:rPr>
          <w:rFonts w:hint="eastAsia" w:eastAsia="宋体"/>
          <w:b w:val="0"/>
          <w:bCs/>
          <w:color w:val="auto"/>
          <w:sz w:val="24"/>
          <w:szCs w:val="24"/>
          <w:lang w:val="en-US" w:eastAsia="zh-CN"/>
        </w:rPr>
        <w:t>。</w:t>
      </w:r>
    </w:p>
    <w:p>
      <w:pPr>
        <w:adjustRightInd w:val="0"/>
        <w:snapToGrid w:val="0"/>
        <w:spacing w:line="360" w:lineRule="auto"/>
        <w:ind w:firstLine="480" w:firstLineChars="200"/>
        <w:outlineLvl w:val="0"/>
        <w:rPr>
          <w:rFonts w:hint="default" w:eastAsia="宋体"/>
          <w:b w:val="0"/>
          <w:bCs/>
          <w:color w:val="auto"/>
          <w:sz w:val="21"/>
          <w:szCs w:val="21"/>
          <w:lang w:val="en-US" w:eastAsia="zh-CN"/>
        </w:rPr>
      </w:pPr>
      <w:r>
        <w:rPr>
          <w:rFonts w:hint="eastAsia" w:eastAsia="宋体"/>
          <w:b w:val="0"/>
          <w:bCs/>
          <w:color w:val="auto"/>
          <w:sz w:val="24"/>
          <w:szCs w:val="24"/>
          <w:lang w:val="en-US" w:eastAsia="zh-CN"/>
        </w:rPr>
        <w:t>3、公司培育的</w:t>
      </w:r>
      <w:r>
        <w:rPr>
          <w:rFonts w:hint="eastAsia" w:eastAsia="宋体"/>
          <w:b w:val="0"/>
          <w:bCs/>
          <w:color w:val="auto"/>
          <w:sz w:val="24"/>
          <w:szCs w:val="24"/>
          <w:lang w:eastAsia="zh-CN"/>
        </w:rPr>
        <w:t>医疗健康板块、</w:t>
      </w:r>
      <w:r>
        <w:rPr>
          <w:rFonts w:hint="eastAsia" w:eastAsia="宋体"/>
          <w:b w:val="0"/>
          <w:bCs/>
          <w:color w:val="auto"/>
          <w:sz w:val="24"/>
          <w:szCs w:val="24"/>
          <w:lang w:val="en-US" w:eastAsia="zh-CN"/>
        </w:rPr>
        <w:t>核环保业务前景良好，但仍处于培育期，尚未产生经济效益，预计减少利润8,000万元至12,000万元。</w:t>
      </w:r>
    </w:p>
    <w:p>
      <w:pPr>
        <w:adjustRightInd w:val="0"/>
        <w:snapToGrid w:val="0"/>
        <w:spacing w:line="360" w:lineRule="auto"/>
        <w:ind w:firstLine="480" w:firstLineChars="200"/>
        <w:outlineLvl w:val="0"/>
        <w:rPr>
          <w:rFonts w:hint="eastAsia" w:eastAsia="宋体"/>
          <w:b w:val="0"/>
          <w:bCs/>
          <w:color w:val="auto"/>
          <w:sz w:val="24"/>
          <w:szCs w:val="24"/>
          <w:lang w:val="en-US" w:eastAsia="zh-CN"/>
        </w:rPr>
      </w:pPr>
      <w:r>
        <w:rPr>
          <w:rFonts w:hint="eastAsia" w:eastAsia="宋体"/>
          <w:b w:val="0"/>
          <w:bCs/>
          <w:color w:val="auto"/>
          <w:sz w:val="24"/>
          <w:szCs w:val="24"/>
          <w:lang w:val="en-US" w:eastAsia="zh-CN"/>
        </w:rPr>
        <w:t>4、根据企业会计准则及公司会计政策等相关规定，公司对各类资产进行全面检查和减值测试，认为部分资产存在减值迹象，公司拟对可能发生资产减值的资产计提相应的减值准备，预计减少利润17,000万元至19,000万元。</w:t>
      </w:r>
    </w:p>
    <w:p>
      <w:pPr>
        <w:adjustRightInd w:val="0"/>
        <w:snapToGrid w:val="0"/>
        <w:spacing w:line="360" w:lineRule="auto"/>
        <w:ind w:firstLine="480" w:firstLineChars="200"/>
        <w:outlineLvl w:val="0"/>
        <w:rPr>
          <w:rFonts w:hint="eastAsia" w:eastAsia="宋体"/>
          <w:b w:val="0"/>
          <w:bCs/>
          <w:color w:val="auto"/>
          <w:sz w:val="22"/>
          <w:szCs w:val="22"/>
        </w:rPr>
      </w:pPr>
      <w:r>
        <w:rPr>
          <w:rFonts w:hint="eastAsia" w:eastAsia="宋体"/>
          <w:b w:val="0"/>
          <w:bCs/>
          <w:color w:val="auto"/>
          <w:sz w:val="24"/>
          <w:szCs w:val="24"/>
          <w:lang w:val="en-US" w:eastAsia="zh-CN"/>
        </w:rPr>
        <w:t>综合上述诸多因素的影响，公司2023年未能实现整体盈利。公司将在下阶段做好安全生产的同时，进一步加强经营管理，提升资产质量；优化科技创新体系、加大科技创新力度、落实重点科研项目，持续提升公司核心竞争力，引领公司高质量发展，为公司的长期健康稳定发展奠定基础</w:t>
      </w:r>
      <w:r>
        <w:rPr>
          <w:rFonts w:hint="eastAsia" w:eastAsia="宋体"/>
          <w:b w:val="0"/>
          <w:bCs/>
          <w:color w:val="auto"/>
          <w:sz w:val="24"/>
          <w:szCs w:val="24"/>
        </w:rPr>
        <w:t>。</w:t>
      </w:r>
    </w:p>
    <w:p>
      <w:pPr>
        <w:adjustRightInd w:val="0"/>
        <w:snapToGrid w:val="0"/>
        <w:spacing w:line="360" w:lineRule="auto"/>
        <w:ind w:firstLine="482" w:firstLineChars="200"/>
        <w:outlineLvl w:val="0"/>
        <w:rPr>
          <w:rFonts w:hint="eastAsia" w:eastAsia="宋体"/>
          <w:b/>
          <w:bCs w:val="0"/>
          <w:color w:val="auto"/>
          <w:sz w:val="24"/>
          <w:szCs w:val="24"/>
          <w:lang w:val="en-US" w:eastAsia="zh-CN"/>
        </w:rPr>
      </w:pPr>
      <w:r>
        <w:rPr>
          <w:rFonts w:hint="eastAsia" w:eastAsia="宋体"/>
          <w:b/>
          <w:bCs w:val="0"/>
          <w:color w:val="auto"/>
          <w:sz w:val="24"/>
          <w:szCs w:val="24"/>
          <w:lang w:val="en-US" w:eastAsia="zh-CN"/>
        </w:rPr>
        <w:t>四、风险提示</w:t>
      </w:r>
    </w:p>
    <w:p>
      <w:pPr>
        <w:adjustRightInd w:val="0"/>
        <w:snapToGrid w:val="0"/>
        <w:spacing w:line="360" w:lineRule="auto"/>
        <w:ind w:firstLine="480" w:firstLineChars="200"/>
        <w:outlineLvl w:val="0"/>
        <w:rPr>
          <w:rFonts w:hint="eastAsia" w:eastAsia="宋体"/>
          <w:b w:val="0"/>
          <w:bCs/>
          <w:color w:val="auto"/>
          <w:sz w:val="24"/>
          <w:szCs w:val="24"/>
        </w:rPr>
      </w:pPr>
      <w:r>
        <w:rPr>
          <w:rFonts w:hint="eastAsia" w:eastAsia="宋体"/>
          <w:b w:val="0"/>
          <w:bCs/>
          <w:color w:val="auto"/>
          <w:sz w:val="24"/>
          <w:szCs w:val="24"/>
        </w:rPr>
        <w:t>本次业绩预告是初步</w:t>
      </w:r>
      <w:r>
        <w:rPr>
          <w:rFonts w:hint="eastAsia" w:eastAsia="宋体"/>
          <w:b w:val="0"/>
          <w:bCs/>
          <w:color w:val="auto"/>
          <w:sz w:val="24"/>
          <w:szCs w:val="24"/>
          <w:lang w:val="en-US" w:eastAsia="zh-CN"/>
        </w:rPr>
        <w:t>测算的</w:t>
      </w:r>
      <w:r>
        <w:rPr>
          <w:rFonts w:hint="eastAsia" w:eastAsia="宋体"/>
          <w:b w:val="0"/>
          <w:bCs/>
          <w:color w:val="auto"/>
          <w:sz w:val="24"/>
          <w:szCs w:val="24"/>
        </w:rPr>
        <w:t>结果，具体财务数据以公司披露的2023年年度报告为准，敬请广大投资者注意投资风险。</w:t>
      </w:r>
    </w:p>
    <w:p>
      <w:pPr>
        <w:snapToGrid w:val="0"/>
        <w:spacing w:line="360" w:lineRule="auto"/>
        <w:ind w:firstLine="480" w:firstLineChars="200"/>
        <w:rPr>
          <w:rFonts w:eastAsia="宋体"/>
          <w:color w:val="auto"/>
          <w:sz w:val="24"/>
          <w:szCs w:val="24"/>
        </w:rPr>
      </w:pPr>
      <w:r>
        <w:rPr>
          <w:rFonts w:eastAsia="宋体"/>
          <w:color w:val="auto"/>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outlineLvl w:val="0"/>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outlineLvl w:val="0"/>
        <w:rPr>
          <w:rFonts w:eastAsia="宋体"/>
          <w:b/>
          <w:sz w:val="24"/>
          <w:szCs w:val="24"/>
        </w:rPr>
      </w:pPr>
      <w:r>
        <w:rPr>
          <w:rFonts w:eastAsia="宋体"/>
          <w:b/>
          <w:sz w:val="24"/>
          <w:szCs w:val="24"/>
        </w:rPr>
        <w:t>董事会</w:t>
      </w:r>
    </w:p>
    <w:p>
      <w:pPr>
        <w:snapToGrid w:val="0"/>
        <w:spacing w:line="360" w:lineRule="auto"/>
        <w:ind w:firstLine="482" w:firstLineChars="200"/>
        <w:jc w:val="right"/>
        <w:outlineLvl w:val="0"/>
        <w:rPr>
          <w:b/>
          <w:color w:val="auto"/>
          <w:sz w:val="24"/>
          <w:szCs w:val="24"/>
        </w:rPr>
      </w:pPr>
      <w:r>
        <w:rPr>
          <w:rFonts w:eastAsia="宋体"/>
          <w:b/>
          <w:color w:val="auto"/>
          <w:sz w:val="24"/>
          <w:szCs w:val="24"/>
        </w:rPr>
        <w:t>202</w:t>
      </w:r>
      <w:r>
        <w:rPr>
          <w:rFonts w:hint="eastAsia" w:eastAsia="宋体"/>
          <w:b/>
          <w:color w:val="auto"/>
          <w:sz w:val="24"/>
          <w:szCs w:val="24"/>
          <w:lang w:val="en-US" w:eastAsia="zh-CN"/>
        </w:rPr>
        <w:t>4</w:t>
      </w:r>
      <w:r>
        <w:rPr>
          <w:rFonts w:eastAsia="宋体"/>
          <w:b/>
          <w:color w:val="auto"/>
          <w:sz w:val="24"/>
          <w:szCs w:val="24"/>
        </w:rPr>
        <w:t>年</w:t>
      </w:r>
      <w:r>
        <w:rPr>
          <w:rFonts w:hint="eastAsia" w:eastAsia="宋体"/>
          <w:b/>
          <w:color w:val="auto"/>
          <w:sz w:val="24"/>
          <w:szCs w:val="24"/>
        </w:rPr>
        <w:t>1</w:t>
      </w:r>
      <w:r>
        <w:rPr>
          <w:rFonts w:eastAsia="宋体"/>
          <w:b/>
          <w:color w:val="auto"/>
          <w:sz w:val="24"/>
          <w:szCs w:val="24"/>
        </w:rPr>
        <w:t>月</w:t>
      </w:r>
      <w:r>
        <w:rPr>
          <w:rFonts w:hint="eastAsia" w:eastAsia="宋体"/>
          <w:b/>
          <w:color w:val="auto"/>
          <w:sz w:val="24"/>
          <w:szCs w:val="24"/>
          <w:lang w:val="en-US" w:eastAsia="zh-CN"/>
        </w:rPr>
        <w:t>31</w:t>
      </w:r>
      <w:r>
        <w:rPr>
          <w:rFonts w:eastAsia="宋体"/>
          <w:b/>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abstractNum w:abstractNumId="1">
    <w:nsid w:val="57CDEBCE"/>
    <w:multiLevelType w:val="singleLevel"/>
    <w:tmpl w:val="57CDEBC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 w:name="KSO_WPS_MARK_KEY" w:val="edb24201-a8ab-443b-ba49-95d712267eeb"/>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666CC"/>
    <w:rsid w:val="018D2CDE"/>
    <w:rsid w:val="01BA7434"/>
    <w:rsid w:val="02237153"/>
    <w:rsid w:val="02435EE5"/>
    <w:rsid w:val="028D37FB"/>
    <w:rsid w:val="02CF01B1"/>
    <w:rsid w:val="02DD2615"/>
    <w:rsid w:val="03005F32"/>
    <w:rsid w:val="030D40D0"/>
    <w:rsid w:val="031E7295"/>
    <w:rsid w:val="03343341"/>
    <w:rsid w:val="038F72EC"/>
    <w:rsid w:val="03A865D9"/>
    <w:rsid w:val="03AD4A6D"/>
    <w:rsid w:val="04220EB1"/>
    <w:rsid w:val="04226A84"/>
    <w:rsid w:val="04371027"/>
    <w:rsid w:val="04A3318B"/>
    <w:rsid w:val="04C64E02"/>
    <w:rsid w:val="0503641B"/>
    <w:rsid w:val="056104BC"/>
    <w:rsid w:val="05B9404A"/>
    <w:rsid w:val="05C2125A"/>
    <w:rsid w:val="05E67615"/>
    <w:rsid w:val="05FA5D1E"/>
    <w:rsid w:val="0605178D"/>
    <w:rsid w:val="06236F09"/>
    <w:rsid w:val="064D0C7B"/>
    <w:rsid w:val="066F4A33"/>
    <w:rsid w:val="067F23D3"/>
    <w:rsid w:val="0693255A"/>
    <w:rsid w:val="06EA2838"/>
    <w:rsid w:val="070161F7"/>
    <w:rsid w:val="072E4129"/>
    <w:rsid w:val="0733201C"/>
    <w:rsid w:val="075925E6"/>
    <w:rsid w:val="07992F5A"/>
    <w:rsid w:val="07BB7068"/>
    <w:rsid w:val="080A3FCD"/>
    <w:rsid w:val="0827239F"/>
    <w:rsid w:val="083D5237"/>
    <w:rsid w:val="084142D3"/>
    <w:rsid w:val="08537854"/>
    <w:rsid w:val="08675B42"/>
    <w:rsid w:val="08F95D48"/>
    <w:rsid w:val="09680BBB"/>
    <w:rsid w:val="09871B38"/>
    <w:rsid w:val="0A132998"/>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DA553B6"/>
    <w:rsid w:val="0E920773"/>
    <w:rsid w:val="0E9E7E62"/>
    <w:rsid w:val="0ED52CCF"/>
    <w:rsid w:val="0F075B3D"/>
    <w:rsid w:val="0F413EB1"/>
    <w:rsid w:val="0F6B046F"/>
    <w:rsid w:val="0F74290B"/>
    <w:rsid w:val="0FEE7B63"/>
    <w:rsid w:val="0FF90584"/>
    <w:rsid w:val="0FFE21D2"/>
    <w:rsid w:val="10967BE4"/>
    <w:rsid w:val="10C860A5"/>
    <w:rsid w:val="10DA54EB"/>
    <w:rsid w:val="10FA11B9"/>
    <w:rsid w:val="11105BCB"/>
    <w:rsid w:val="112E5545"/>
    <w:rsid w:val="113A0949"/>
    <w:rsid w:val="11465211"/>
    <w:rsid w:val="11D27DC5"/>
    <w:rsid w:val="11D6694D"/>
    <w:rsid w:val="11D72E84"/>
    <w:rsid w:val="11FF3BA3"/>
    <w:rsid w:val="12097EEB"/>
    <w:rsid w:val="12335C76"/>
    <w:rsid w:val="12C44693"/>
    <w:rsid w:val="12F521C1"/>
    <w:rsid w:val="13062350"/>
    <w:rsid w:val="13540FCC"/>
    <w:rsid w:val="137551BA"/>
    <w:rsid w:val="138253F3"/>
    <w:rsid w:val="13CA78A4"/>
    <w:rsid w:val="13E90E7D"/>
    <w:rsid w:val="13F803B8"/>
    <w:rsid w:val="14870EF6"/>
    <w:rsid w:val="149B346D"/>
    <w:rsid w:val="149D2C0B"/>
    <w:rsid w:val="152336C8"/>
    <w:rsid w:val="1588570F"/>
    <w:rsid w:val="15B21392"/>
    <w:rsid w:val="15D94812"/>
    <w:rsid w:val="16251A7B"/>
    <w:rsid w:val="168604B3"/>
    <w:rsid w:val="16CD3142"/>
    <w:rsid w:val="16DB572C"/>
    <w:rsid w:val="16DF5A6F"/>
    <w:rsid w:val="16FE1415"/>
    <w:rsid w:val="172C29D4"/>
    <w:rsid w:val="17330D1A"/>
    <w:rsid w:val="17564E9E"/>
    <w:rsid w:val="178E3F62"/>
    <w:rsid w:val="179A11D6"/>
    <w:rsid w:val="17A74284"/>
    <w:rsid w:val="17B72594"/>
    <w:rsid w:val="184236E8"/>
    <w:rsid w:val="187278CB"/>
    <w:rsid w:val="19154E02"/>
    <w:rsid w:val="192775E4"/>
    <w:rsid w:val="194075FE"/>
    <w:rsid w:val="19951B5B"/>
    <w:rsid w:val="19F84C38"/>
    <w:rsid w:val="1A056876"/>
    <w:rsid w:val="1A202DC3"/>
    <w:rsid w:val="1A595C8F"/>
    <w:rsid w:val="1A5D6431"/>
    <w:rsid w:val="1AAD1ACB"/>
    <w:rsid w:val="1B0C1623"/>
    <w:rsid w:val="1B326183"/>
    <w:rsid w:val="1B3D734C"/>
    <w:rsid w:val="1B447FB2"/>
    <w:rsid w:val="1B7E733B"/>
    <w:rsid w:val="1B85705F"/>
    <w:rsid w:val="1B9158C8"/>
    <w:rsid w:val="1BC00537"/>
    <w:rsid w:val="1BD838BE"/>
    <w:rsid w:val="1BF926A9"/>
    <w:rsid w:val="1C433887"/>
    <w:rsid w:val="1C63352B"/>
    <w:rsid w:val="1C767603"/>
    <w:rsid w:val="1CAC66F9"/>
    <w:rsid w:val="1CC31220"/>
    <w:rsid w:val="1CD1668F"/>
    <w:rsid w:val="1CD24564"/>
    <w:rsid w:val="1CDF509E"/>
    <w:rsid w:val="1D37508A"/>
    <w:rsid w:val="1D442687"/>
    <w:rsid w:val="1D833AD0"/>
    <w:rsid w:val="1DA7769E"/>
    <w:rsid w:val="1DB54E36"/>
    <w:rsid w:val="1DEB4413"/>
    <w:rsid w:val="1E26544F"/>
    <w:rsid w:val="1EDF0E4F"/>
    <w:rsid w:val="1EF20C24"/>
    <w:rsid w:val="1EFA27BD"/>
    <w:rsid w:val="1F456C3D"/>
    <w:rsid w:val="1F5865B1"/>
    <w:rsid w:val="1F7A021E"/>
    <w:rsid w:val="1FAB1086"/>
    <w:rsid w:val="1FF36C63"/>
    <w:rsid w:val="200D2DC3"/>
    <w:rsid w:val="20410D06"/>
    <w:rsid w:val="20794362"/>
    <w:rsid w:val="209B3FAE"/>
    <w:rsid w:val="20A94838"/>
    <w:rsid w:val="20C95856"/>
    <w:rsid w:val="215A3B58"/>
    <w:rsid w:val="219A07BD"/>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0FDC"/>
    <w:rsid w:val="24012D10"/>
    <w:rsid w:val="24844D27"/>
    <w:rsid w:val="24AF1C58"/>
    <w:rsid w:val="24B95E28"/>
    <w:rsid w:val="24C1538F"/>
    <w:rsid w:val="24E446E9"/>
    <w:rsid w:val="24FF4E38"/>
    <w:rsid w:val="252213D0"/>
    <w:rsid w:val="25374AF3"/>
    <w:rsid w:val="25450769"/>
    <w:rsid w:val="257B287A"/>
    <w:rsid w:val="25A8674B"/>
    <w:rsid w:val="25C73B3B"/>
    <w:rsid w:val="25D9362D"/>
    <w:rsid w:val="25EA26C1"/>
    <w:rsid w:val="26005B04"/>
    <w:rsid w:val="26B76B34"/>
    <w:rsid w:val="27337794"/>
    <w:rsid w:val="27355873"/>
    <w:rsid w:val="27703E8D"/>
    <w:rsid w:val="27DF6666"/>
    <w:rsid w:val="27E8466F"/>
    <w:rsid w:val="27EE1B5B"/>
    <w:rsid w:val="282E5EC3"/>
    <w:rsid w:val="28354E82"/>
    <w:rsid w:val="28525986"/>
    <w:rsid w:val="285B60A9"/>
    <w:rsid w:val="28652863"/>
    <w:rsid w:val="288A5D4C"/>
    <w:rsid w:val="28DD25E0"/>
    <w:rsid w:val="28FF1F96"/>
    <w:rsid w:val="29064C4D"/>
    <w:rsid w:val="29655D4A"/>
    <w:rsid w:val="297A10D4"/>
    <w:rsid w:val="29973DBD"/>
    <w:rsid w:val="29DC5247"/>
    <w:rsid w:val="2B591B29"/>
    <w:rsid w:val="2B6644AD"/>
    <w:rsid w:val="2BB22A8A"/>
    <w:rsid w:val="2BEC617B"/>
    <w:rsid w:val="2BF54791"/>
    <w:rsid w:val="2C240C3C"/>
    <w:rsid w:val="2C761144"/>
    <w:rsid w:val="2C837CC5"/>
    <w:rsid w:val="2C893779"/>
    <w:rsid w:val="2D0E6475"/>
    <w:rsid w:val="2DB24AA4"/>
    <w:rsid w:val="2DB615D4"/>
    <w:rsid w:val="2E1D46A8"/>
    <w:rsid w:val="2E4F5666"/>
    <w:rsid w:val="2E821397"/>
    <w:rsid w:val="2E8350B5"/>
    <w:rsid w:val="2EA22BB9"/>
    <w:rsid w:val="2EC9634C"/>
    <w:rsid w:val="2EE64F31"/>
    <w:rsid w:val="2F0B69D7"/>
    <w:rsid w:val="2F122994"/>
    <w:rsid w:val="2F421151"/>
    <w:rsid w:val="2F747280"/>
    <w:rsid w:val="2F880E2A"/>
    <w:rsid w:val="2F9057D5"/>
    <w:rsid w:val="2FDC1401"/>
    <w:rsid w:val="30520083"/>
    <w:rsid w:val="30561973"/>
    <w:rsid w:val="308D49A4"/>
    <w:rsid w:val="30917E27"/>
    <w:rsid w:val="30ED3219"/>
    <w:rsid w:val="30F636CE"/>
    <w:rsid w:val="31171833"/>
    <w:rsid w:val="31276540"/>
    <w:rsid w:val="31661435"/>
    <w:rsid w:val="31696698"/>
    <w:rsid w:val="3176218B"/>
    <w:rsid w:val="31A352EC"/>
    <w:rsid w:val="32AD43B0"/>
    <w:rsid w:val="32F2307E"/>
    <w:rsid w:val="32F953D2"/>
    <w:rsid w:val="33000A2E"/>
    <w:rsid w:val="331D4D45"/>
    <w:rsid w:val="33901FA7"/>
    <w:rsid w:val="34626DAE"/>
    <w:rsid w:val="348D6D89"/>
    <w:rsid w:val="34AF42A0"/>
    <w:rsid w:val="34F21765"/>
    <w:rsid w:val="350B05E4"/>
    <w:rsid w:val="359B5634"/>
    <w:rsid w:val="35B75306"/>
    <w:rsid w:val="35DA7390"/>
    <w:rsid w:val="35DD5BE8"/>
    <w:rsid w:val="35F1548B"/>
    <w:rsid w:val="3667221E"/>
    <w:rsid w:val="3681148B"/>
    <w:rsid w:val="369063FA"/>
    <w:rsid w:val="36A646A7"/>
    <w:rsid w:val="375F0684"/>
    <w:rsid w:val="3775737A"/>
    <w:rsid w:val="378A2713"/>
    <w:rsid w:val="37AF093D"/>
    <w:rsid w:val="37D24CA4"/>
    <w:rsid w:val="37EA2E0E"/>
    <w:rsid w:val="387D0504"/>
    <w:rsid w:val="38D4579B"/>
    <w:rsid w:val="38F77026"/>
    <w:rsid w:val="390B3BAD"/>
    <w:rsid w:val="39353570"/>
    <w:rsid w:val="3A022201"/>
    <w:rsid w:val="3A4D1BBC"/>
    <w:rsid w:val="3A915C02"/>
    <w:rsid w:val="3AB62979"/>
    <w:rsid w:val="3AC619B1"/>
    <w:rsid w:val="3ACF2DFF"/>
    <w:rsid w:val="3B1E2C92"/>
    <w:rsid w:val="3B627CF4"/>
    <w:rsid w:val="3BB4504B"/>
    <w:rsid w:val="3C0B4EF4"/>
    <w:rsid w:val="3C156AA2"/>
    <w:rsid w:val="3C2F06EC"/>
    <w:rsid w:val="3CAF042D"/>
    <w:rsid w:val="3CB46C36"/>
    <w:rsid w:val="3CD45076"/>
    <w:rsid w:val="3CF22462"/>
    <w:rsid w:val="3D23337D"/>
    <w:rsid w:val="3E8E06D6"/>
    <w:rsid w:val="3EC576AD"/>
    <w:rsid w:val="3ED50494"/>
    <w:rsid w:val="3F4756F1"/>
    <w:rsid w:val="3FA54669"/>
    <w:rsid w:val="3FAC2834"/>
    <w:rsid w:val="400F718B"/>
    <w:rsid w:val="40A94D33"/>
    <w:rsid w:val="40B01A65"/>
    <w:rsid w:val="40BA7418"/>
    <w:rsid w:val="40C1059D"/>
    <w:rsid w:val="410D3985"/>
    <w:rsid w:val="411C2F72"/>
    <w:rsid w:val="41870684"/>
    <w:rsid w:val="4196177A"/>
    <w:rsid w:val="427759BD"/>
    <w:rsid w:val="429B3FB2"/>
    <w:rsid w:val="430F7D93"/>
    <w:rsid w:val="43265537"/>
    <w:rsid w:val="433656A7"/>
    <w:rsid w:val="4364761E"/>
    <w:rsid w:val="4378508A"/>
    <w:rsid w:val="43BA1751"/>
    <w:rsid w:val="43BF4487"/>
    <w:rsid w:val="43C05D80"/>
    <w:rsid w:val="44284B5F"/>
    <w:rsid w:val="44474811"/>
    <w:rsid w:val="445A46AE"/>
    <w:rsid w:val="44604933"/>
    <w:rsid w:val="44714AFB"/>
    <w:rsid w:val="44796AC2"/>
    <w:rsid w:val="44D27D77"/>
    <w:rsid w:val="44FD15D2"/>
    <w:rsid w:val="45130F9E"/>
    <w:rsid w:val="45175857"/>
    <w:rsid w:val="453B32A8"/>
    <w:rsid w:val="454E77EE"/>
    <w:rsid w:val="45737079"/>
    <w:rsid w:val="461F3EBE"/>
    <w:rsid w:val="464E73A4"/>
    <w:rsid w:val="4684492B"/>
    <w:rsid w:val="46885010"/>
    <w:rsid w:val="46972792"/>
    <w:rsid w:val="469E548C"/>
    <w:rsid w:val="46AD6854"/>
    <w:rsid w:val="46D76112"/>
    <w:rsid w:val="4705712E"/>
    <w:rsid w:val="4793493F"/>
    <w:rsid w:val="47CB3E36"/>
    <w:rsid w:val="47F61B67"/>
    <w:rsid w:val="4839232C"/>
    <w:rsid w:val="485A0EA8"/>
    <w:rsid w:val="486354FC"/>
    <w:rsid w:val="488A744B"/>
    <w:rsid w:val="48DF35DF"/>
    <w:rsid w:val="492926C9"/>
    <w:rsid w:val="497231C4"/>
    <w:rsid w:val="49BF4571"/>
    <w:rsid w:val="4A145737"/>
    <w:rsid w:val="4A365D92"/>
    <w:rsid w:val="4A4F7B6C"/>
    <w:rsid w:val="4A515382"/>
    <w:rsid w:val="4A8B7951"/>
    <w:rsid w:val="4AD51513"/>
    <w:rsid w:val="4AEF427C"/>
    <w:rsid w:val="4BB23BBB"/>
    <w:rsid w:val="4BB42B60"/>
    <w:rsid w:val="4BCE305D"/>
    <w:rsid w:val="4C4614BD"/>
    <w:rsid w:val="4C936A3B"/>
    <w:rsid w:val="4CEF26B4"/>
    <w:rsid w:val="4D1B4648"/>
    <w:rsid w:val="4D6F59A6"/>
    <w:rsid w:val="4DCA5C65"/>
    <w:rsid w:val="4DEF3BEF"/>
    <w:rsid w:val="4DFB6947"/>
    <w:rsid w:val="4E0359E2"/>
    <w:rsid w:val="4E231736"/>
    <w:rsid w:val="4E27013D"/>
    <w:rsid w:val="4E9354A6"/>
    <w:rsid w:val="4F0F2447"/>
    <w:rsid w:val="4F217F9B"/>
    <w:rsid w:val="4F505B88"/>
    <w:rsid w:val="4F604D34"/>
    <w:rsid w:val="4FAC609C"/>
    <w:rsid w:val="50443630"/>
    <w:rsid w:val="504C3368"/>
    <w:rsid w:val="5067612A"/>
    <w:rsid w:val="50850A87"/>
    <w:rsid w:val="509C405F"/>
    <w:rsid w:val="50A40711"/>
    <w:rsid w:val="5126460E"/>
    <w:rsid w:val="51766FA2"/>
    <w:rsid w:val="5188598E"/>
    <w:rsid w:val="51936115"/>
    <w:rsid w:val="51D6626D"/>
    <w:rsid w:val="521E7F95"/>
    <w:rsid w:val="523E4376"/>
    <w:rsid w:val="52400863"/>
    <w:rsid w:val="525853E7"/>
    <w:rsid w:val="52B20682"/>
    <w:rsid w:val="52F77230"/>
    <w:rsid w:val="532606DF"/>
    <w:rsid w:val="53C564F0"/>
    <w:rsid w:val="53D123DC"/>
    <w:rsid w:val="540D40C4"/>
    <w:rsid w:val="544D32FB"/>
    <w:rsid w:val="545C5D5F"/>
    <w:rsid w:val="5476775B"/>
    <w:rsid w:val="547871EB"/>
    <w:rsid w:val="54793793"/>
    <w:rsid w:val="549D6082"/>
    <w:rsid w:val="54B57CF7"/>
    <w:rsid w:val="54B946F7"/>
    <w:rsid w:val="54B97DCC"/>
    <w:rsid w:val="54EB63CD"/>
    <w:rsid w:val="551B7C86"/>
    <w:rsid w:val="55384DC6"/>
    <w:rsid w:val="55556DBE"/>
    <w:rsid w:val="557233A0"/>
    <w:rsid w:val="557E11BB"/>
    <w:rsid w:val="55A7753B"/>
    <w:rsid w:val="56BC720C"/>
    <w:rsid w:val="56C647B3"/>
    <w:rsid w:val="56E12E8A"/>
    <w:rsid w:val="56EF5D14"/>
    <w:rsid w:val="572B04AD"/>
    <w:rsid w:val="573B36AB"/>
    <w:rsid w:val="57720192"/>
    <w:rsid w:val="57DF501C"/>
    <w:rsid w:val="57F03B9F"/>
    <w:rsid w:val="58096E6F"/>
    <w:rsid w:val="58231A14"/>
    <w:rsid w:val="582D1AC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751744"/>
    <w:rsid w:val="5AC2653B"/>
    <w:rsid w:val="5AE747C3"/>
    <w:rsid w:val="5AEA3775"/>
    <w:rsid w:val="5B0479D6"/>
    <w:rsid w:val="5B0F786F"/>
    <w:rsid w:val="5B3E0ACF"/>
    <w:rsid w:val="5B4A3D91"/>
    <w:rsid w:val="5B774E71"/>
    <w:rsid w:val="5B86479E"/>
    <w:rsid w:val="5B9E6027"/>
    <w:rsid w:val="5BA23B0C"/>
    <w:rsid w:val="5BCC52B7"/>
    <w:rsid w:val="5C0B3189"/>
    <w:rsid w:val="5C0E651B"/>
    <w:rsid w:val="5C2442E8"/>
    <w:rsid w:val="5C9C1AF3"/>
    <w:rsid w:val="5CDF7D10"/>
    <w:rsid w:val="5CFF5879"/>
    <w:rsid w:val="5D2B4BB7"/>
    <w:rsid w:val="5D4930BF"/>
    <w:rsid w:val="5D8A4F8E"/>
    <w:rsid w:val="5DD561D1"/>
    <w:rsid w:val="5DD80C7F"/>
    <w:rsid w:val="5E1D09B1"/>
    <w:rsid w:val="5E42737D"/>
    <w:rsid w:val="5E43257A"/>
    <w:rsid w:val="5E6C2D25"/>
    <w:rsid w:val="5E984F4E"/>
    <w:rsid w:val="5ED25123"/>
    <w:rsid w:val="5EE0506F"/>
    <w:rsid w:val="5EE056FE"/>
    <w:rsid w:val="5F166FCB"/>
    <w:rsid w:val="5F362843"/>
    <w:rsid w:val="5F63338A"/>
    <w:rsid w:val="5F6A70D2"/>
    <w:rsid w:val="5F9472E7"/>
    <w:rsid w:val="5F9B7352"/>
    <w:rsid w:val="5F9E5A83"/>
    <w:rsid w:val="600A602E"/>
    <w:rsid w:val="603F2C9B"/>
    <w:rsid w:val="60527107"/>
    <w:rsid w:val="607C091B"/>
    <w:rsid w:val="60982C3C"/>
    <w:rsid w:val="60B55130"/>
    <w:rsid w:val="61171764"/>
    <w:rsid w:val="611C2D51"/>
    <w:rsid w:val="611C403B"/>
    <w:rsid w:val="61292006"/>
    <w:rsid w:val="612C310A"/>
    <w:rsid w:val="612F7E3B"/>
    <w:rsid w:val="61687FE2"/>
    <w:rsid w:val="61807FF6"/>
    <w:rsid w:val="61AA735E"/>
    <w:rsid w:val="621A3574"/>
    <w:rsid w:val="62AB7D14"/>
    <w:rsid w:val="62B97337"/>
    <w:rsid w:val="62BA2677"/>
    <w:rsid w:val="62E01977"/>
    <w:rsid w:val="62E95975"/>
    <w:rsid w:val="62F507BA"/>
    <w:rsid w:val="63613472"/>
    <w:rsid w:val="63681B9C"/>
    <w:rsid w:val="63D262A7"/>
    <w:rsid w:val="63D8455C"/>
    <w:rsid w:val="64643702"/>
    <w:rsid w:val="64B03B59"/>
    <w:rsid w:val="64CC10B8"/>
    <w:rsid w:val="64E06A1A"/>
    <w:rsid w:val="64E351D7"/>
    <w:rsid w:val="64FF45CD"/>
    <w:rsid w:val="6537655B"/>
    <w:rsid w:val="654A1320"/>
    <w:rsid w:val="65681D1D"/>
    <w:rsid w:val="65856911"/>
    <w:rsid w:val="65D331FF"/>
    <w:rsid w:val="668C02C9"/>
    <w:rsid w:val="66A8173D"/>
    <w:rsid w:val="66CF4A15"/>
    <w:rsid w:val="66F50CAA"/>
    <w:rsid w:val="67194E2F"/>
    <w:rsid w:val="676A6A91"/>
    <w:rsid w:val="67784575"/>
    <w:rsid w:val="67B635F8"/>
    <w:rsid w:val="67DB6000"/>
    <w:rsid w:val="67E8480C"/>
    <w:rsid w:val="67ED056C"/>
    <w:rsid w:val="68015A0E"/>
    <w:rsid w:val="68171E00"/>
    <w:rsid w:val="68910E56"/>
    <w:rsid w:val="68AB1D64"/>
    <w:rsid w:val="68C826A0"/>
    <w:rsid w:val="694F7499"/>
    <w:rsid w:val="69C223F9"/>
    <w:rsid w:val="69DD1477"/>
    <w:rsid w:val="69E4021A"/>
    <w:rsid w:val="69EA7815"/>
    <w:rsid w:val="6A3833A6"/>
    <w:rsid w:val="6A6F5EEB"/>
    <w:rsid w:val="6A85171C"/>
    <w:rsid w:val="6AD95098"/>
    <w:rsid w:val="6ADC1DEB"/>
    <w:rsid w:val="6AE00BC1"/>
    <w:rsid w:val="6B23238E"/>
    <w:rsid w:val="6B38463A"/>
    <w:rsid w:val="6B3A1344"/>
    <w:rsid w:val="6B5C0652"/>
    <w:rsid w:val="6B8148DE"/>
    <w:rsid w:val="6BE60AD2"/>
    <w:rsid w:val="6C2D2B5A"/>
    <w:rsid w:val="6C461D15"/>
    <w:rsid w:val="6C7B529C"/>
    <w:rsid w:val="6C991530"/>
    <w:rsid w:val="6CA84F28"/>
    <w:rsid w:val="6CAC6D99"/>
    <w:rsid w:val="6CC3543E"/>
    <w:rsid w:val="6CC433F6"/>
    <w:rsid w:val="6CDC3B2B"/>
    <w:rsid w:val="6CDF1EAF"/>
    <w:rsid w:val="6CE63799"/>
    <w:rsid w:val="6D00791A"/>
    <w:rsid w:val="6D2F3BBD"/>
    <w:rsid w:val="6D7B7A66"/>
    <w:rsid w:val="6D905698"/>
    <w:rsid w:val="6DA61A64"/>
    <w:rsid w:val="6DBD0949"/>
    <w:rsid w:val="6E1603CB"/>
    <w:rsid w:val="6E577091"/>
    <w:rsid w:val="6E84034D"/>
    <w:rsid w:val="6F0D1E43"/>
    <w:rsid w:val="6F1E0D5A"/>
    <w:rsid w:val="6F2E04E4"/>
    <w:rsid w:val="6F493520"/>
    <w:rsid w:val="6FA12229"/>
    <w:rsid w:val="6FC22B46"/>
    <w:rsid w:val="6FDC7143"/>
    <w:rsid w:val="6FE45653"/>
    <w:rsid w:val="70554341"/>
    <w:rsid w:val="7089404F"/>
    <w:rsid w:val="70AF1C7C"/>
    <w:rsid w:val="70D6700E"/>
    <w:rsid w:val="71272110"/>
    <w:rsid w:val="719D793C"/>
    <w:rsid w:val="71A247C0"/>
    <w:rsid w:val="71BC5F4C"/>
    <w:rsid w:val="71D42690"/>
    <w:rsid w:val="71FE35D0"/>
    <w:rsid w:val="72512AA3"/>
    <w:rsid w:val="727A42CD"/>
    <w:rsid w:val="729A0742"/>
    <w:rsid w:val="729D7199"/>
    <w:rsid w:val="73710DE8"/>
    <w:rsid w:val="7382004F"/>
    <w:rsid w:val="738B6ECD"/>
    <w:rsid w:val="740D39D4"/>
    <w:rsid w:val="74183D26"/>
    <w:rsid w:val="742A1457"/>
    <w:rsid w:val="743069D9"/>
    <w:rsid w:val="748652DF"/>
    <w:rsid w:val="749D7B69"/>
    <w:rsid w:val="74F32128"/>
    <w:rsid w:val="75395E4D"/>
    <w:rsid w:val="75652953"/>
    <w:rsid w:val="75934016"/>
    <w:rsid w:val="75C84817"/>
    <w:rsid w:val="75CB0ECB"/>
    <w:rsid w:val="75E7418D"/>
    <w:rsid w:val="76071FAE"/>
    <w:rsid w:val="76131444"/>
    <w:rsid w:val="762A7C7A"/>
    <w:rsid w:val="76587D39"/>
    <w:rsid w:val="76645525"/>
    <w:rsid w:val="770847C7"/>
    <w:rsid w:val="772A7E01"/>
    <w:rsid w:val="773B151D"/>
    <w:rsid w:val="780A14FB"/>
    <w:rsid w:val="780E4292"/>
    <w:rsid w:val="781666A4"/>
    <w:rsid w:val="781E6760"/>
    <w:rsid w:val="78413F3B"/>
    <w:rsid w:val="7875223D"/>
    <w:rsid w:val="793A7663"/>
    <w:rsid w:val="799F2BDF"/>
    <w:rsid w:val="79B07D84"/>
    <w:rsid w:val="79C54F96"/>
    <w:rsid w:val="7A0E3BAD"/>
    <w:rsid w:val="7A1816D7"/>
    <w:rsid w:val="7A6779ED"/>
    <w:rsid w:val="7A7F1552"/>
    <w:rsid w:val="7A8F2184"/>
    <w:rsid w:val="7AB279F2"/>
    <w:rsid w:val="7AE65844"/>
    <w:rsid w:val="7B3159C3"/>
    <w:rsid w:val="7B7873A1"/>
    <w:rsid w:val="7BE34C4E"/>
    <w:rsid w:val="7C403B9E"/>
    <w:rsid w:val="7C537681"/>
    <w:rsid w:val="7C5D3006"/>
    <w:rsid w:val="7C993F7F"/>
    <w:rsid w:val="7CBE27BE"/>
    <w:rsid w:val="7CC5604D"/>
    <w:rsid w:val="7CD3558A"/>
    <w:rsid w:val="7CE27CFF"/>
    <w:rsid w:val="7D3F3111"/>
    <w:rsid w:val="7D9F149E"/>
    <w:rsid w:val="7DD34743"/>
    <w:rsid w:val="7DF12D8F"/>
    <w:rsid w:val="7DF52673"/>
    <w:rsid w:val="7E14633A"/>
    <w:rsid w:val="7E8F6CAE"/>
    <w:rsid w:val="7F0167D8"/>
    <w:rsid w:val="7F6B0553"/>
    <w:rsid w:val="7F857CDD"/>
    <w:rsid w:val="7F8F3199"/>
    <w:rsid w:val="7FD421BD"/>
    <w:rsid w:val="7FD4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 w:type="paragraph" w:styleId="31">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936</Words>
  <Characters>1071</Characters>
  <Lines>22</Lines>
  <Paragraphs>6</Paragraphs>
  <TotalTime>0</TotalTime>
  <ScaleCrop>false</ScaleCrop>
  <LinksUpToDate>false</LinksUpToDate>
  <CharactersWithSpaces>1098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海涛</cp:lastModifiedBy>
  <cp:lastPrinted>2024-01-25T06:52:00Z</cp:lastPrinted>
  <dcterms:modified xsi:type="dcterms:W3CDTF">2024-01-30T09:44:06Z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426E3178421044E48DCDE37279813C89_13</vt:lpwstr>
  </property>
</Properties>
</file>